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Батиграфикалық сипаттама параметрлерін анықтау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Санитарлы-техникалық сипаты бойынша өлі көлемнің деңгейін анықтау, кеме жүзу талаптары, суару және сумен қамтуды басқару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 мезгілдік реттеудің интегралды графикалары.  Тұрғызу ережесі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 көп жылғы реттеу. Есептеудің баламалы әдістері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қоймаларының максималды шығынын есептеу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Ағынды реттеудің техникалық-экономикалық көрсеткіштері 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Өзен ағысын реттеудің қажетті аспектілері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Су қоймаларының сипаттамасы, су қоймасын құрайтын негізгі  көлемдік және қалыпты деңгейі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Су қоймаларының және оның деңгейіне сәйкес өлі көлемі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Лайлануды азайту бойынша негізгі іс-шаралар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қоймаларындағы ғимараттардағы шығын түрлері. </w:t>
      </w: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 xml:space="preserve"> Олардың пайда болу себептері және азайту іс-шаралары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sz w:val="28"/>
          <w:szCs w:val="28"/>
          <w:lang w:val="kk-KZ"/>
        </w:rPr>
        <w:t>Ағынды толық және толық емес реттеу. Ағынды реттеудің тура және айналмалы есебінің маңызы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Циклдерге тәуелді және тәуелсіз, бір және екі тактылы жұмыс тәртібі кезіндегі су қоймалары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sz w:val="28"/>
          <w:szCs w:val="28"/>
        </w:rPr>
        <w:t>Интеграл</w:t>
      </w:r>
      <w:r w:rsidRPr="000114D8">
        <w:rPr>
          <w:rFonts w:ascii="Times New Roman" w:eastAsia="TimesNewRoman" w:hAnsi="Times New Roman" w:cs="Times New Roman"/>
          <w:sz w:val="28"/>
          <w:szCs w:val="28"/>
          <w:lang w:val="kk-KZ"/>
        </w:rPr>
        <w:t xml:space="preserve">ды </w:t>
      </w:r>
      <w:r w:rsidRPr="000114D8">
        <w:rPr>
          <w:rFonts w:ascii="Times New Roman" w:eastAsia="TimesNewRoman" w:hAnsi="Times New Roman" w:cs="Times New Roman"/>
          <w:sz w:val="28"/>
          <w:szCs w:val="28"/>
        </w:rPr>
        <w:t>график</w:t>
      </w:r>
      <w:r w:rsidRPr="000114D8">
        <w:rPr>
          <w:rFonts w:ascii="Times New Roman" w:eastAsia="TimesNewRoman" w:hAnsi="Times New Roman" w:cs="Times New Roman"/>
          <w:sz w:val="28"/>
          <w:szCs w:val="28"/>
          <w:lang w:val="kk-KZ"/>
        </w:rPr>
        <w:t>алар. Реттеудің айналмалы есебі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Ағысты өтемдік реттеу. Осындай реттеу кезінде су қоймасының тиімді көлемін анықтау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0114D8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Су қоймасы каскадасын есептеу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D45101" w:rsidRDefault="007F246A" w:rsidP="000114D8">
      <w:pPr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eastAsia="TimesNewRoman" w:hAnsi="Times New Roman" w:cs="Times New Roman"/>
          <w:color w:val="000000"/>
          <w:sz w:val="28"/>
          <w:szCs w:val="28"/>
          <w:lang w:val="kk-KZ"/>
        </w:rPr>
        <w:t>Ағысты өтемдік реттеу. Осындай реттеу кезінде су қоймасының тиімді көлемін анықтау</w:t>
      </w:r>
    </w:p>
    <w:p w:rsidR="007F246A" w:rsidRPr="000114D8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7F246A" w:rsidRPr="00D45101" w:rsidRDefault="000114D8" w:rsidP="000114D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Өзен суағарына әсер ететін факторлар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Суағар сипаттамаларын есептеу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Өзен тасындылары. Қатты суағар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Өзендердің тұзды суағарлары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Өзендер және олардың қалыптасуы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Жағалардың қалыптасу факторлары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 xml:space="preserve">Өзендер қоректенуінің сандық сипаттамасы  </w:t>
      </w:r>
    </w:p>
    <w:p w:rsidR="007F246A" w:rsidRPr="00D45101" w:rsidRDefault="007F246A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0114D8" w:rsidRPr="00D45101" w:rsidRDefault="000114D8" w:rsidP="000114D8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114D8">
        <w:rPr>
          <w:rFonts w:ascii="Times New Roman" w:hAnsi="Times New Roman" w:cs="Times New Roman"/>
          <w:sz w:val="28"/>
          <w:szCs w:val="28"/>
          <w:lang w:val="kk-KZ"/>
        </w:rPr>
        <w:t>Жерасты сулары</w:t>
      </w:r>
      <w:bookmarkStart w:id="0" w:name="_GoBack"/>
      <w:bookmarkEnd w:id="0"/>
    </w:p>
    <w:sectPr w:rsidR="000114D8" w:rsidRPr="00D45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2175"/>
    <w:rsid w:val="000114D8"/>
    <w:rsid w:val="002C518C"/>
    <w:rsid w:val="005D2175"/>
    <w:rsid w:val="005E538D"/>
    <w:rsid w:val="007F246A"/>
    <w:rsid w:val="00D4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920EBC-5EFC-4C69-AF15-5F1FE022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24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1239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МЕЧТА</cp:lastModifiedBy>
  <cp:revision>5</cp:revision>
  <dcterms:created xsi:type="dcterms:W3CDTF">2019-11-25T05:30:00Z</dcterms:created>
  <dcterms:modified xsi:type="dcterms:W3CDTF">2020-03-27T09:21:00Z</dcterms:modified>
</cp:coreProperties>
</file>